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0B" w:rsidRPr="00AE2455" w:rsidRDefault="00AE2455" w:rsidP="0028570B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333E48"/>
          <w:spacing w:val="2"/>
          <w:sz w:val="24"/>
          <w:szCs w:val="24"/>
          <w:lang w:eastAsia="ru-RU"/>
        </w:rPr>
      </w:pPr>
      <w:r w:rsidRPr="00AE2455">
        <w:rPr>
          <w:rFonts w:ascii="Arial" w:eastAsia="Times New Roman" w:hAnsi="Arial" w:cs="Arial"/>
          <w:b/>
          <w:color w:val="333E48"/>
          <w:spacing w:val="2"/>
          <w:sz w:val="24"/>
          <w:szCs w:val="24"/>
          <w:lang w:eastAsia="ru-RU"/>
        </w:rPr>
        <w:t xml:space="preserve">                           Лабораторная работа</w:t>
      </w:r>
      <w:bookmarkStart w:id="0" w:name="_GoBack"/>
      <w:bookmarkEnd w:id="0"/>
    </w:p>
    <w:p w:rsidR="00AE2455" w:rsidRPr="00AE2455" w:rsidRDefault="00AE2455" w:rsidP="0028570B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333E48"/>
          <w:spacing w:val="2"/>
          <w:sz w:val="24"/>
          <w:szCs w:val="24"/>
          <w:lang w:eastAsia="ru-RU"/>
        </w:rPr>
      </w:pPr>
      <w:r w:rsidRPr="00AE2455">
        <w:rPr>
          <w:rFonts w:ascii="Arial" w:eastAsia="Times New Roman" w:hAnsi="Arial" w:cs="Arial"/>
          <w:b/>
          <w:color w:val="333E48"/>
          <w:spacing w:val="2"/>
          <w:sz w:val="24"/>
          <w:szCs w:val="24"/>
          <w:lang w:eastAsia="ru-RU"/>
        </w:rPr>
        <w:t>Тема: червяная передача</w:t>
      </w:r>
    </w:p>
    <w:p w:rsidR="00AE2455" w:rsidRPr="00AE2455" w:rsidRDefault="00AE2455" w:rsidP="0028570B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333E48"/>
          <w:spacing w:val="2"/>
          <w:sz w:val="24"/>
          <w:szCs w:val="24"/>
          <w:lang w:eastAsia="ru-RU"/>
        </w:rPr>
      </w:pPr>
      <w:r w:rsidRPr="00AE2455">
        <w:rPr>
          <w:rFonts w:ascii="Arial" w:eastAsia="Times New Roman" w:hAnsi="Arial" w:cs="Arial"/>
          <w:b/>
          <w:color w:val="333E48"/>
          <w:spacing w:val="2"/>
          <w:sz w:val="24"/>
          <w:szCs w:val="24"/>
          <w:lang w:eastAsia="ru-RU"/>
        </w:rPr>
        <w:t>Цель работы: изучить устройство червячной передачи, ее виды</w:t>
      </w:r>
    </w:p>
    <w:p w:rsidR="0028570B" w:rsidRPr="0028570B" w:rsidRDefault="0028570B" w:rsidP="0028570B">
      <w:pPr>
        <w:shd w:val="clear" w:color="auto" w:fill="FFFFFF"/>
        <w:spacing w:line="411" w:lineRule="atLeast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hyperlink r:id="rId6" w:history="1">
        <w:r w:rsidRPr="0028570B">
          <w:rPr>
            <w:rFonts w:ascii="Arial" w:eastAsia="Times New Roman" w:hAnsi="Arial" w:cs="Arial"/>
            <w:color w:val="00B876"/>
            <w:spacing w:val="2"/>
            <w:sz w:val="24"/>
            <w:szCs w:val="24"/>
            <w:u w:val="single"/>
            <w:lang w:eastAsia="ru-RU"/>
          </w:rPr>
          <w:t>Червячная</w:t>
        </w:r>
      </w:hyperlink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 или, как ее также называют, </w:t>
      </w:r>
      <w:proofErr w:type="spellStart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зубчато</w:t>
      </w:r>
      <w:proofErr w:type="spellEnd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-винтовая передача представляет собой механическую конструкцию, состоящую из зубчатого колеса и специального винта с резьбой — червяка. Червячное колесо — это представитель класса колес косозубого типа. Механическая передача осуществляется за счет зацепления конусовидного червяка об зубчатое колесо. Материал верхнего слоя колеса должен обладать пониженными показателями трения, к внутренней части не предъявляется особенных </w:t>
      </w:r>
      <w:proofErr w:type="gramStart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требований</w:t>
      </w:r>
      <w:proofErr w:type="gramEnd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 и она может быть исполнена из любого прочного металла.</w:t>
      </w:r>
    </w:p>
    <w:p w:rsidR="0028570B" w:rsidRPr="0028570B" w:rsidRDefault="0028570B" w:rsidP="0028570B">
      <w:pPr>
        <w:shd w:val="clear" w:color="auto" w:fill="FFFFFF"/>
        <w:spacing w:after="514" w:line="411" w:lineRule="atLeast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Основным рабочим органом механизма является червяк (винт с резьбой). Первичный контакт шестеренки начинается по линии, а не в конкретной точке, что является ярким преимуществом данной системы </w:t>
      </w:r>
      <w:proofErr w:type="gramStart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перед</w:t>
      </w:r>
      <w:proofErr w:type="gramEnd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 аналогичными.</w:t>
      </w:r>
    </w:p>
    <w:p w:rsidR="0028570B" w:rsidRPr="0028570B" w:rsidRDefault="0028570B" w:rsidP="0028570B">
      <w:pPr>
        <w:shd w:val="clear" w:color="auto" w:fill="FFFFFF"/>
        <w:spacing w:line="411" w:lineRule="atLeast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Червяк может иметь один или несколько заходов (как правило, от одного до четырех), направление движения может быть разным: правым или левым. Доминантной частью механизма в большинстве случаев выступает червяк, в качестве субдоминанта — червячное колесо. Основным параметром в механизме является делительный осевой шаг червяка.</w:t>
      </w:r>
    </w:p>
    <w:p w:rsidR="00AE2455" w:rsidRDefault="00AE2455" w:rsidP="0028570B">
      <w:pPr>
        <w:shd w:val="clear" w:color="auto" w:fill="FFFFFF"/>
        <w:spacing w:after="514" w:line="411" w:lineRule="atLeast"/>
        <w:rPr>
          <w:rFonts w:ascii="Arial" w:eastAsia="Times New Roman" w:hAnsi="Arial" w:cs="Arial"/>
          <w:b/>
          <w:bCs/>
          <w:color w:val="747474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747474"/>
          <w:spacing w:val="2"/>
          <w:sz w:val="24"/>
          <w:szCs w:val="24"/>
          <w:lang w:eastAsia="ru-RU"/>
        </w:rPr>
        <w:t xml:space="preserve">Виды </w:t>
      </w:r>
      <w:proofErr w:type="gramStart"/>
      <w:r>
        <w:rPr>
          <w:rFonts w:ascii="Arial" w:eastAsia="Times New Roman" w:hAnsi="Arial" w:cs="Arial"/>
          <w:b/>
          <w:bCs/>
          <w:color w:val="747474"/>
          <w:spacing w:val="2"/>
          <w:sz w:val="24"/>
          <w:szCs w:val="24"/>
          <w:lang w:eastAsia="ru-RU"/>
        </w:rPr>
        <w:t>червячных</w:t>
      </w:r>
      <w:proofErr w:type="gramEnd"/>
      <w:r>
        <w:rPr>
          <w:rFonts w:ascii="Arial" w:eastAsia="Times New Roman" w:hAnsi="Arial" w:cs="Arial"/>
          <w:b/>
          <w:bCs/>
          <w:color w:val="747474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747474"/>
          <w:spacing w:val="2"/>
          <w:sz w:val="24"/>
          <w:szCs w:val="24"/>
          <w:lang w:eastAsia="ru-RU"/>
        </w:rPr>
        <w:t>предач</w:t>
      </w:r>
      <w:proofErr w:type="spellEnd"/>
    </w:p>
    <w:p w:rsidR="0028570B" w:rsidRPr="0028570B" w:rsidRDefault="0028570B" w:rsidP="0028570B">
      <w:pPr>
        <w:shd w:val="clear" w:color="auto" w:fill="FFFFFF"/>
        <w:spacing w:after="514" w:line="411" w:lineRule="atLeast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Условно можно разделить червячные трансмиссии на две большие подгруппы:</w:t>
      </w:r>
    </w:p>
    <w:p w:rsidR="0028570B" w:rsidRPr="0028570B" w:rsidRDefault="0028570B" w:rsidP="00285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11" w:lineRule="atLeast"/>
        <w:ind w:left="495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Цилиндрические червячные передачи;</w:t>
      </w:r>
    </w:p>
    <w:p w:rsidR="0028570B" w:rsidRPr="0028570B" w:rsidRDefault="0028570B" w:rsidP="0028570B">
      <w:pPr>
        <w:numPr>
          <w:ilvl w:val="0"/>
          <w:numId w:val="1"/>
        </w:numPr>
        <w:shd w:val="clear" w:color="auto" w:fill="FFFFFF"/>
        <w:spacing w:before="100" w:beforeAutospacing="1" w:after="0" w:line="411" w:lineRule="atLeast"/>
        <w:ind w:left="495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Глобоидные червячные передачи.</w:t>
      </w:r>
    </w:p>
    <w:p w:rsidR="0028570B" w:rsidRPr="0028570B" w:rsidRDefault="0028570B" w:rsidP="0028570B">
      <w:pPr>
        <w:shd w:val="clear" w:color="auto" w:fill="FFFFFF"/>
        <w:spacing w:after="514" w:line="411" w:lineRule="atLeast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Отдельно можно разделить цилиндрические червяки на различные подвиды, в зависимости от формы профиля резьбы:</w:t>
      </w:r>
    </w:p>
    <w:p w:rsidR="0028570B" w:rsidRPr="0028570B" w:rsidRDefault="0028570B" w:rsidP="00285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11" w:lineRule="atLeast"/>
        <w:ind w:left="495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proofErr w:type="spellStart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Архимодов</w:t>
      </w:r>
      <w:proofErr w:type="spellEnd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 червяк — </w:t>
      </w:r>
      <w:proofErr w:type="spellStart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трапецевидный</w:t>
      </w:r>
      <w:proofErr w:type="spellEnd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 профиль с архимедовой спиралью в торце;</w:t>
      </w:r>
    </w:p>
    <w:p w:rsidR="0028570B" w:rsidRPr="0028570B" w:rsidRDefault="0028570B" w:rsidP="00285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11" w:lineRule="atLeast"/>
        <w:ind w:left="495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proofErr w:type="spellStart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Конволютный</w:t>
      </w:r>
      <w:proofErr w:type="spellEnd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 — </w:t>
      </w:r>
      <w:proofErr w:type="spellStart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трапепидальный</w:t>
      </w:r>
      <w:proofErr w:type="spellEnd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 профиль;</w:t>
      </w:r>
    </w:p>
    <w:p w:rsidR="0028570B" w:rsidRPr="0028570B" w:rsidRDefault="0028570B" w:rsidP="00285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11" w:lineRule="atLeast"/>
        <w:ind w:left="495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proofErr w:type="spellStart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Эвольвентный</w:t>
      </w:r>
      <w:proofErr w:type="spellEnd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 — </w:t>
      </w:r>
      <w:proofErr w:type="spellStart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эвольвентный</w:t>
      </w:r>
      <w:proofErr w:type="spellEnd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 профиль;</w:t>
      </w:r>
    </w:p>
    <w:p w:rsidR="0028570B" w:rsidRPr="0028570B" w:rsidRDefault="0028570B" w:rsidP="0028570B">
      <w:pPr>
        <w:numPr>
          <w:ilvl w:val="0"/>
          <w:numId w:val="2"/>
        </w:numPr>
        <w:shd w:val="clear" w:color="auto" w:fill="FFFFFF"/>
        <w:spacing w:before="100" w:beforeAutospacing="1" w:line="411" w:lineRule="atLeast"/>
        <w:ind w:left="495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lastRenderedPageBreak/>
        <w:t>С вогнутым профилем витков.</w:t>
      </w:r>
    </w:p>
    <w:p w:rsidR="0028570B" w:rsidRPr="0028570B" w:rsidRDefault="0028570B" w:rsidP="0028570B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r w:rsidRPr="0028570B">
        <w:rPr>
          <w:rFonts w:ascii="Arial" w:eastAsia="Times New Roman" w:hAnsi="Arial" w:cs="Arial"/>
          <w:noProof/>
          <w:color w:val="747474"/>
          <w:spacing w:val="2"/>
          <w:sz w:val="24"/>
          <w:szCs w:val="24"/>
          <w:lang w:eastAsia="ru-RU"/>
        </w:rPr>
        <w:drawing>
          <wp:inline distT="0" distB="0" distL="0" distR="0" wp14:anchorId="3B4E4250" wp14:editId="4452D745">
            <wp:extent cx="3860045" cy="3852000"/>
            <wp:effectExtent l="0" t="0" r="7620" b="0"/>
            <wp:docPr id="2" name="Рисунок 2" descr="зубчато-винтовая перед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убчато-винтовая передач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045" cy="38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0B" w:rsidRPr="0028570B" w:rsidRDefault="0028570B" w:rsidP="0028570B">
      <w:pPr>
        <w:shd w:val="clear" w:color="auto" w:fill="FFFFFF"/>
        <w:spacing w:line="411" w:lineRule="atLeast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У глобоидных конструкций используется всего два типа формы профилей: </w:t>
      </w:r>
      <w:proofErr w:type="spellStart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трапицеидальный</w:t>
      </w:r>
      <w:proofErr w:type="spellEnd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 и с вогнутым профилем. Рабочие количество витков в глобоидной передаче выше, чем </w:t>
      </w:r>
      <w:proofErr w:type="gramStart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в</w:t>
      </w:r>
      <w:proofErr w:type="gramEnd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 </w:t>
      </w:r>
      <w:proofErr w:type="gramStart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цилиндрической</w:t>
      </w:r>
      <w:proofErr w:type="gramEnd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, это обуславливает ее мощностные характеристики. Вместе с этим возникает и потребность в дополнительной системе охлаждения, а также точности при исполнении и монтаже.</w:t>
      </w:r>
    </w:p>
    <w:p w:rsidR="0028570B" w:rsidRPr="0028570B" w:rsidRDefault="0028570B" w:rsidP="0028570B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747474"/>
          <w:spacing w:val="2"/>
          <w:sz w:val="27"/>
          <w:szCs w:val="27"/>
          <w:lang w:eastAsia="ru-RU"/>
        </w:rPr>
      </w:pPr>
      <w:r w:rsidRPr="0028570B">
        <w:rPr>
          <w:rFonts w:ascii="Arial" w:eastAsia="Times New Roman" w:hAnsi="Arial" w:cs="Arial"/>
          <w:b/>
          <w:bCs/>
          <w:color w:val="747474"/>
          <w:spacing w:val="2"/>
          <w:sz w:val="27"/>
          <w:szCs w:val="27"/>
          <w:lang w:eastAsia="ru-RU"/>
        </w:rPr>
        <w:t>Преимущества червячных передач</w:t>
      </w:r>
    </w:p>
    <w:p w:rsidR="0028570B" w:rsidRPr="0028570B" w:rsidRDefault="0028570B" w:rsidP="0028570B">
      <w:pPr>
        <w:shd w:val="clear" w:color="auto" w:fill="FFFFFF"/>
        <w:spacing w:after="514" w:line="411" w:lineRule="atLeast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Тихие и плавные в работе данные передачи — это идеальное решение для управления </w:t>
      </w:r>
      <w:proofErr w:type="spellStart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низкомоментными</w:t>
      </w:r>
      <w:proofErr w:type="spellEnd"/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 xml:space="preserve"> силовыми установками. Компактные размеры позволяют уместить механизм даже в самые ограниченные пространства: это может быть как рулевая часть транспортных средств, так и, например, музыкальные инструменты с толковыми механизмами. Отдельно стоит обратить внимание на свойство самоторможения: оно обеспечивает функцию самоторможения без участия дополнительных устройств управления.</w:t>
      </w:r>
    </w:p>
    <w:p w:rsidR="0028570B" w:rsidRPr="0028570B" w:rsidRDefault="0028570B" w:rsidP="0028570B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747474"/>
          <w:spacing w:val="2"/>
          <w:sz w:val="27"/>
          <w:szCs w:val="27"/>
          <w:lang w:eastAsia="ru-RU"/>
        </w:rPr>
      </w:pPr>
      <w:r w:rsidRPr="0028570B">
        <w:rPr>
          <w:rFonts w:ascii="Arial" w:eastAsia="Times New Roman" w:hAnsi="Arial" w:cs="Arial"/>
          <w:b/>
          <w:bCs/>
          <w:color w:val="747474"/>
          <w:spacing w:val="2"/>
          <w:sz w:val="27"/>
          <w:szCs w:val="27"/>
          <w:lang w:eastAsia="ru-RU"/>
        </w:rPr>
        <w:t>Недостатки червячных передач</w:t>
      </w:r>
    </w:p>
    <w:p w:rsidR="0028570B" w:rsidRPr="0028570B" w:rsidRDefault="0028570B" w:rsidP="0028570B">
      <w:pPr>
        <w:shd w:val="clear" w:color="auto" w:fill="FFFFFF"/>
        <w:spacing w:line="411" w:lineRule="atLeast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lastRenderedPageBreak/>
        <w:t>Основным недостатком червячной трансмиссии является невысокий КПД, связанный с потерями мощности, присущими любой винтовой паре. Использование данной конструкции подразумевает обязательное применение антифрикционных материалов, исключение которых обычно быстро приводит к заеданию зубцов. Передаваемые мощности не превышают 200 кВт, что в значительной степени ограничивает области применения данных устройств.</w:t>
      </w:r>
    </w:p>
    <w:p w:rsidR="0028570B" w:rsidRPr="0028570B" w:rsidRDefault="0028570B" w:rsidP="0028570B">
      <w:pPr>
        <w:shd w:val="clear" w:color="auto" w:fill="FFFFFF"/>
        <w:spacing w:after="514" w:line="411" w:lineRule="atLeast"/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</w:pPr>
      <w:r w:rsidRPr="0028570B">
        <w:rPr>
          <w:rFonts w:ascii="Arial" w:eastAsia="Times New Roman" w:hAnsi="Arial" w:cs="Arial"/>
          <w:color w:val="747474"/>
          <w:spacing w:val="2"/>
          <w:sz w:val="24"/>
          <w:szCs w:val="24"/>
          <w:lang w:eastAsia="ru-RU"/>
        </w:rPr>
        <w:t>Данные механизмы склонны к быстрому износу, как следствие - ремонт и повышенные требования к регулярному техническому обслуживанию, что невыгодно для некоторых решений с экономической точки зрения.</w:t>
      </w:r>
    </w:p>
    <w:p w:rsidR="000A0E45" w:rsidRDefault="000A0E45"/>
    <w:sectPr w:rsidR="000A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5635"/>
    <w:multiLevelType w:val="multilevel"/>
    <w:tmpl w:val="0E8C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52D5B"/>
    <w:multiLevelType w:val="multilevel"/>
    <w:tmpl w:val="92DC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0B"/>
    <w:rsid w:val="000A0E45"/>
    <w:rsid w:val="0028570B"/>
    <w:rsid w:val="00AE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4266">
              <w:marLeft w:val="0"/>
              <w:marRight w:val="0"/>
              <w:marTop w:val="0"/>
              <w:marBottom w:val="5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03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5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3965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0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96081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2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439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70307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4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2067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1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17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1030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9767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148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3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pmotor.ru/reduktory/%d1%87%d0%b5%d1%80%d0%b2%d1%8f%d1%87%d0%bd%d1%8b%d0%b5_%d1%80%d0%b5%d0%b4%d1%83%d0%ba%d1%82%d0%be%d1%80%d1%8b/nmrv_nrv_%d0%be%d0%b4%d0%bd%d0%be%d1%81%d1%82%d1%83%d0%bf%d0%b5%d0%bd%d1%87%d0%b0%d1%82%d1%8b%d0%b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2898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4</cp:revision>
  <dcterms:created xsi:type="dcterms:W3CDTF">2020-04-26T21:17:00Z</dcterms:created>
  <dcterms:modified xsi:type="dcterms:W3CDTF">2020-04-26T21:25:00Z</dcterms:modified>
</cp:coreProperties>
</file>